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FE" w:rsidRDefault="003E31C7">
      <w:pPr>
        <w:jc w:val="center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72"/>
        </w:rPr>
        <w:t>NEWSLETTER</w:t>
      </w:r>
      <w:r>
        <w:rPr>
          <w:rFonts w:ascii="Calibri" w:eastAsia="Calibri" w:hAnsi="Calibri" w:cs="Calibri"/>
          <w:color w:val="000000"/>
          <w:sz w:val="96"/>
        </w:rPr>
        <w:br/>
      </w:r>
      <w:r>
        <w:rPr>
          <w:rFonts w:ascii="Calibri" w:eastAsia="Calibri" w:hAnsi="Calibri" w:cs="Calibri"/>
          <w:color w:val="000000"/>
          <w:sz w:val="48"/>
        </w:rPr>
        <w:t>Mrs. Robinette, Mrs. Campbell, Ms. Holt</w:t>
      </w:r>
    </w:p>
    <w:p w:rsidR="005254FE" w:rsidRDefault="003E31C7">
      <w:pPr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u w:val="single"/>
        </w:rPr>
        <w:t>Anchorage Public School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</w:rPr>
        <w:t xml:space="preserve">  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18"/>
        </w:rPr>
        <w:t xml:space="preserve">                                                                                                    </w:t>
      </w:r>
    </w:p>
    <w:p w:rsidR="005254FE" w:rsidRDefault="003E31C7">
      <w:pPr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u w:val="single"/>
        </w:rPr>
        <w:t>Spelling/Vocabulary:</w:t>
      </w:r>
    </w:p>
    <w:p w:rsidR="005254FE" w:rsidRDefault="003E31C7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Monday, October 9, 2017</w:t>
      </w:r>
    </w:p>
    <w:p w:rsidR="005254FE" w:rsidRDefault="003E31C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</w:t>
      </w:r>
    </w:p>
    <w:p w:rsidR="005254FE" w:rsidRDefault="003E31C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words this week will come from our Journeys series. The spelling/vocabulary test is </w:t>
      </w:r>
      <w:r>
        <w:rPr>
          <w:rFonts w:ascii="Calibri" w:eastAsia="Calibri" w:hAnsi="Calibri" w:cs="Calibri"/>
          <w:b/>
          <w:color w:val="000000"/>
        </w:rPr>
        <w:t>Friday, October 13, 2017</w:t>
      </w:r>
      <w:r>
        <w:rPr>
          <w:rFonts w:ascii="Calibri" w:eastAsia="Calibri" w:hAnsi="Calibri" w:cs="Calibri"/>
          <w:color w:val="000000"/>
        </w:rPr>
        <w:t>.</w:t>
      </w:r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alarmed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reacted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convey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daring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awe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luminous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indescribable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extraordinary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fade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conferring</w:t>
      </w:r>
      <w:proofErr w:type="gramEnd"/>
    </w:p>
    <w:p w:rsidR="005254FE" w:rsidRDefault="003E31C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Vocabulary Strategies:  Suffixes </w:t>
      </w:r>
    </w:p>
    <w:p w:rsidR="005254FE" w:rsidRDefault="003E3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3105"/>
        <w:gridCol w:w="3104"/>
      </w:tblGrid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Suffix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Definition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Examples</w:t>
            </w:r>
          </w:p>
        </w:tc>
      </w:tr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Like</w:t>
            </w:r>
          </w:p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Having</w:t>
            </w:r>
          </w:p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 some degree, or somewhat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Summer + y = summery; like summery</w:t>
            </w:r>
          </w:p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Noise + y = noisy; having noise</w:t>
            </w:r>
          </w:p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Sleep + y = sleepy;  degree of sleep</w:t>
            </w:r>
          </w:p>
        </w:tc>
      </w:tr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ous</w:t>
            </w:r>
            <w:proofErr w:type="spellEnd"/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Having full of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Joy +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ous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= joyous; full of joy</w:t>
            </w:r>
          </w:p>
        </w:tc>
      </w:tr>
    </w:tbl>
    <w:p w:rsidR="005254FE" w:rsidRDefault="005254FE">
      <w:pPr>
        <w:spacing w:after="200" w:line="276" w:lineRule="auto"/>
        <w:rPr>
          <w:rFonts w:ascii="Calibri" w:eastAsia="Calibri" w:hAnsi="Calibri" w:cs="Calibri"/>
        </w:rPr>
      </w:pPr>
    </w:p>
    <w:p w:rsidR="005254FE" w:rsidRDefault="003E31C7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</w:p>
    <w:p w:rsidR="005254FE" w:rsidRDefault="003E31C7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Math:</w:t>
      </w:r>
    </w:p>
    <w:p w:rsidR="003E31C7" w:rsidRPr="00E42CBC" w:rsidRDefault="003E31C7" w:rsidP="003E31C7">
      <w:pPr>
        <w:rPr>
          <w:sz w:val="21"/>
          <w:szCs w:val="21"/>
        </w:rPr>
      </w:pPr>
      <w:r w:rsidRPr="00E42CBC">
        <w:rPr>
          <w:sz w:val="21"/>
          <w:szCs w:val="21"/>
        </w:rPr>
        <w:t xml:space="preserve">We are starting our Multiplication Unit </w:t>
      </w:r>
      <w:r>
        <w:rPr>
          <w:sz w:val="21"/>
          <w:szCs w:val="21"/>
        </w:rPr>
        <w:t>this week.  It</w:t>
      </w:r>
      <w:r w:rsidRPr="00E42CBC">
        <w:rPr>
          <w:sz w:val="21"/>
          <w:szCs w:val="21"/>
        </w:rPr>
        <w:t xml:space="preserve"> begins with a study of factors, multiples, prime and composite numbers.  The Unit 2 Study Guide will go out later this week.  As always, the timed test will be this Friday. </w:t>
      </w:r>
    </w:p>
    <w:p w:rsidR="005254FE" w:rsidRDefault="005254FE">
      <w:pPr>
        <w:spacing w:after="0" w:line="240" w:lineRule="auto"/>
        <w:rPr>
          <w:rFonts w:ascii="Tahoma" w:eastAsia="Tahoma" w:hAnsi="Tahoma" w:cs="Tahoma"/>
          <w:color w:val="000000"/>
        </w:rPr>
      </w:pPr>
      <w:bookmarkStart w:id="0" w:name="_GoBack"/>
      <w:bookmarkEnd w:id="0"/>
    </w:p>
    <w:p w:rsidR="005254FE" w:rsidRDefault="003E31C7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Science:</w:t>
      </w:r>
    </w:p>
    <w:p w:rsidR="005254FE" w:rsidRDefault="003E31C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first part of the </w:t>
      </w:r>
      <w:proofErr w:type="gramStart"/>
      <w:r>
        <w:rPr>
          <w:rFonts w:ascii="Calibri" w:eastAsia="Calibri" w:hAnsi="Calibri" w:cs="Calibri"/>
          <w:color w:val="000000"/>
        </w:rPr>
        <w:t>week</w:t>
      </w:r>
      <w:proofErr w:type="gramEnd"/>
      <w:r>
        <w:rPr>
          <w:rFonts w:ascii="Calibri" w:eastAsia="Calibri" w:hAnsi="Calibri" w:cs="Calibri"/>
          <w:color w:val="000000"/>
        </w:rPr>
        <w:t xml:space="preserve"> we will be testing our turtle designs and writing reflections on the </w:t>
      </w:r>
      <w:proofErr w:type="spellStart"/>
      <w:r>
        <w:rPr>
          <w:rFonts w:ascii="Calibri" w:eastAsia="Calibri" w:hAnsi="Calibri" w:cs="Calibri"/>
          <w:color w:val="000000"/>
        </w:rPr>
        <w:t>enginering</w:t>
      </w:r>
      <w:proofErr w:type="spellEnd"/>
      <w:r>
        <w:rPr>
          <w:rFonts w:ascii="Calibri" w:eastAsia="Calibri" w:hAnsi="Calibri" w:cs="Calibri"/>
          <w:color w:val="000000"/>
        </w:rPr>
        <w:t xml:space="preserve"> design process.  Then we will start our new unit on Earth Science.  On Thursday night, Students need to use ice cubes, plastic cups, </w:t>
      </w:r>
      <w:proofErr w:type="spellStart"/>
      <w:r>
        <w:rPr>
          <w:rFonts w:ascii="Calibri" w:eastAsia="Calibri" w:hAnsi="Calibri" w:cs="Calibri"/>
          <w:color w:val="000000"/>
        </w:rPr>
        <w:t>resealable</w:t>
      </w:r>
      <w:proofErr w:type="spellEnd"/>
      <w:r>
        <w:rPr>
          <w:rFonts w:ascii="Calibri" w:eastAsia="Calibri" w:hAnsi="Calibri" w:cs="Calibri"/>
          <w:color w:val="000000"/>
        </w:rPr>
        <w:t xml:space="preserve"> plast</w:t>
      </w:r>
      <w:r>
        <w:rPr>
          <w:rFonts w:ascii="Calibri" w:eastAsia="Calibri" w:hAnsi="Calibri" w:cs="Calibri"/>
          <w:color w:val="000000"/>
        </w:rPr>
        <w:t>ic bags and tape to create a model of the water cycle.  Put the ice cubes in the cup.  Put the cup into the bag.  Seal the bag.  Tape the bag to a sunny window.  Predict what will happen over the next three days and then bring the observation chart to scho</w:t>
      </w:r>
      <w:r>
        <w:rPr>
          <w:rFonts w:ascii="Calibri" w:eastAsia="Calibri" w:hAnsi="Calibri" w:cs="Calibri"/>
          <w:color w:val="000000"/>
        </w:rPr>
        <w:t xml:space="preserve">ol on </w:t>
      </w:r>
      <w:r>
        <w:rPr>
          <w:rFonts w:ascii="Calibri" w:eastAsia="Calibri" w:hAnsi="Calibri" w:cs="Calibri"/>
          <w:b/>
          <w:color w:val="000000"/>
        </w:rPr>
        <w:t xml:space="preserve">Monday October 16, 2017. 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3"/>
        <w:gridCol w:w="3104"/>
        <w:gridCol w:w="3111"/>
      </w:tblGrid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Time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Predictions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Observations</w:t>
            </w:r>
          </w:p>
        </w:tc>
      </w:tr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After 2 hours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Day 2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5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3E31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Day 3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4FE" w:rsidRDefault="005254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254FE" w:rsidRDefault="005254F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5254FE" w:rsidRDefault="003E31C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Reading</w:t>
      </w:r>
      <w:r>
        <w:rPr>
          <w:rFonts w:ascii="Calibri" w:eastAsia="Calibri" w:hAnsi="Calibri" w:cs="Calibri"/>
          <w:color w:val="000000"/>
          <w:sz w:val="24"/>
        </w:rPr>
        <w:t>:</w:t>
      </w:r>
    </w:p>
    <w:p w:rsidR="005254FE" w:rsidRDefault="005254F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254FE" w:rsidRDefault="003E31C7">
      <w:pPr>
        <w:spacing w:after="24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u w:val="single"/>
        </w:rPr>
        <w:t>Upcoming Dates:</w:t>
      </w:r>
    </w:p>
    <w:p w:rsidR="005254FE" w:rsidRDefault="003E31C7">
      <w:pPr>
        <w:numPr>
          <w:ilvl w:val="0"/>
          <w:numId w:val="1"/>
        </w:numPr>
        <w:spacing w:after="24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October 10-11</w:t>
      </w:r>
      <w:r>
        <w:rPr>
          <w:rFonts w:ascii="Tahoma" w:eastAsia="Tahoma" w:hAnsi="Tahoma" w:cs="Tahoma"/>
          <w:color w:val="000000"/>
        </w:rPr>
        <w:tab/>
        <w:t>ITBS Testing</w:t>
      </w:r>
    </w:p>
    <w:p w:rsidR="005254FE" w:rsidRDefault="003E31C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              </w:t>
      </w:r>
    </w:p>
    <w:p w:rsidR="005254FE" w:rsidRDefault="003E31C7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Social Studies:</w:t>
      </w:r>
    </w:p>
    <w:p w:rsidR="005254FE" w:rsidRDefault="003E31C7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Writing: </w:t>
      </w:r>
    </w:p>
    <w:p w:rsidR="005254FE" w:rsidRDefault="003E31C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week the students will be working on informative writing by creating a news report.</w:t>
      </w:r>
    </w:p>
    <w:p w:rsidR="005254FE" w:rsidRDefault="003E31C7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Grammar:</w:t>
      </w:r>
    </w:p>
    <w:p w:rsidR="005254FE" w:rsidRDefault="003E31C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will be working on types of verbs. </w:t>
      </w:r>
    </w:p>
    <w:p w:rsidR="005254FE" w:rsidRDefault="003E31C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main verbs</w:t>
      </w:r>
    </w:p>
    <w:p w:rsidR="005254FE" w:rsidRDefault="003E31C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action verbs</w:t>
      </w:r>
    </w:p>
    <w:p w:rsidR="005254FE" w:rsidRDefault="003E31C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helping verbs</w:t>
      </w:r>
    </w:p>
    <w:p w:rsidR="005254FE" w:rsidRDefault="003E31C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linking verbs</w:t>
      </w:r>
    </w:p>
    <w:p w:rsidR="005254FE" w:rsidRDefault="005254FE">
      <w:pPr>
        <w:rPr>
          <w:rFonts w:ascii="Bernard MT Condensed" w:eastAsia="Bernard MT Condensed" w:hAnsi="Bernard MT Condensed" w:cs="Bernard MT Condensed"/>
          <w:color w:val="000000"/>
          <w:sz w:val="24"/>
        </w:rPr>
      </w:pPr>
    </w:p>
    <w:sectPr w:rsidR="0052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75C"/>
    <w:multiLevelType w:val="multilevel"/>
    <w:tmpl w:val="98683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D5139"/>
    <w:multiLevelType w:val="multilevel"/>
    <w:tmpl w:val="7AE03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FE"/>
    <w:rsid w:val="003E31C7"/>
    <w:rsid w:val="005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4F36"/>
  <w15:docId w15:val="{7151E927-3CC0-46E4-B883-70AD8B6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Lisa</dc:creator>
  <cp:lastModifiedBy>Campbell, Lisa</cp:lastModifiedBy>
  <cp:revision>2</cp:revision>
  <dcterms:created xsi:type="dcterms:W3CDTF">2017-10-08T16:01:00Z</dcterms:created>
  <dcterms:modified xsi:type="dcterms:W3CDTF">2017-10-08T16:01:00Z</dcterms:modified>
</cp:coreProperties>
</file>